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FF" w:rsidRPr="008C6306" w:rsidRDefault="00D423FF" w:rsidP="00D423FF">
      <w:pPr>
        <w:pStyle w:val="NoSpacing"/>
        <w:spacing w:after="120"/>
        <w:jc w:val="right"/>
        <w:rPr>
          <w:rFonts w:ascii="Times New Roman" w:hAnsi="Times New Roman"/>
          <w:b/>
          <w:bCs/>
          <w:sz w:val="24"/>
          <w:szCs w:val="24"/>
          <w:lang w:val="ro-RO"/>
        </w:rPr>
      </w:pPr>
      <w:r w:rsidRPr="008C6306">
        <w:rPr>
          <w:rFonts w:ascii="Times New Roman" w:hAnsi="Times New Roman"/>
          <w:b/>
          <w:bCs/>
          <w:sz w:val="24"/>
          <w:szCs w:val="24"/>
          <w:lang w:val="ro-RO"/>
        </w:rPr>
        <w:t>Anexa nr. 3</w:t>
      </w:r>
    </w:p>
    <w:p w:rsidR="00D423FF" w:rsidRPr="008C6306" w:rsidRDefault="00D423FF" w:rsidP="00D423FF">
      <w:pPr>
        <w:pStyle w:val="NoSpacing"/>
        <w:jc w:val="right"/>
        <w:rPr>
          <w:rFonts w:ascii="Times New Roman" w:hAnsi="Times New Roman"/>
          <w:b/>
          <w:sz w:val="24"/>
          <w:szCs w:val="24"/>
          <w:lang w:val="ro-RO"/>
        </w:rPr>
      </w:pPr>
      <w:r w:rsidRPr="008C6306">
        <w:rPr>
          <w:rFonts w:ascii="Times New Roman" w:hAnsi="Times New Roman"/>
          <w:b/>
          <w:sz w:val="24"/>
          <w:szCs w:val="24"/>
          <w:lang w:val="ro-RO"/>
        </w:rPr>
        <w:t xml:space="preserve">la Instrucţiunea privind modul </w:t>
      </w:r>
    </w:p>
    <w:p w:rsidR="00D423FF" w:rsidRPr="008C6306" w:rsidRDefault="00D423FF" w:rsidP="00D423FF">
      <w:pPr>
        <w:spacing w:after="0"/>
        <w:jc w:val="right"/>
        <w:rPr>
          <w:rFonts w:ascii="Times New Roman" w:hAnsi="Times New Roman"/>
          <w:b/>
          <w:sz w:val="24"/>
          <w:szCs w:val="24"/>
          <w:lang w:val="ro-RO"/>
        </w:rPr>
      </w:pPr>
      <w:r w:rsidRPr="008C6306">
        <w:rPr>
          <w:rFonts w:ascii="Times New Roman" w:hAnsi="Times New Roman"/>
          <w:b/>
          <w:sz w:val="24"/>
          <w:szCs w:val="24"/>
          <w:lang w:val="ro-RO"/>
        </w:rPr>
        <w:t xml:space="preserve">                                                                              de înregistrare a obligațiunilor emise de autoritățile administrației publice locale</w:t>
      </w:r>
    </w:p>
    <w:p w:rsidR="00D423FF" w:rsidRPr="00692F7B" w:rsidRDefault="00D423FF" w:rsidP="00D423FF">
      <w:pPr>
        <w:spacing w:after="0"/>
        <w:jc w:val="both"/>
        <w:rPr>
          <w:rFonts w:ascii="Times New Roman" w:hAnsi="Times New Roman"/>
          <w:sz w:val="20"/>
          <w:szCs w:val="20"/>
          <w:lang w:val="ro-RO"/>
        </w:rPr>
      </w:pPr>
    </w:p>
    <w:p w:rsidR="00D423FF" w:rsidRPr="00692F7B" w:rsidRDefault="00D423FF" w:rsidP="00D423FF">
      <w:pPr>
        <w:spacing w:after="120" w:line="240" w:lineRule="auto"/>
        <w:jc w:val="center"/>
        <w:rPr>
          <w:rFonts w:ascii="Times New Roman" w:eastAsia="Times New Roman" w:hAnsi="Times New Roman"/>
          <w:sz w:val="20"/>
          <w:szCs w:val="20"/>
          <w:lang w:val="ro-RO" w:eastAsia="ru-RU"/>
        </w:rPr>
      </w:pPr>
      <w:r w:rsidRPr="00692F7B">
        <w:rPr>
          <w:rFonts w:ascii="Times New Roman" w:hAnsi="Times New Roman"/>
          <w:b/>
          <w:sz w:val="24"/>
          <w:szCs w:val="24"/>
          <w:lang w:val="ro-RO"/>
        </w:rPr>
        <w:t xml:space="preserve">Informații minime necesare </w:t>
      </w:r>
      <w:r w:rsidRPr="00692F7B">
        <w:rPr>
          <w:rFonts w:ascii="Times New Roman" w:hAnsi="Times New Roman"/>
          <w:b/>
          <w:bCs/>
          <w:sz w:val="24"/>
          <w:szCs w:val="24"/>
          <w:lang w:val="ro-RO"/>
        </w:rPr>
        <w:t xml:space="preserve">a fi incluse </w:t>
      </w:r>
      <w:r w:rsidRPr="00CE2594">
        <w:rPr>
          <w:rFonts w:ascii="Times New Roman" w:hAnsi="Times New Roman"/>
          <w:b/>
          <w:bCs/>
          <w:sz w:val="24"/>
          <w:szCs w:val="24"/>
          <w:lang w:val="ro-RO"/>
        </w:rPr>
        <w:t>în fiș</w:t>
      </w:r>
      <w:r>
        <w:rPr>
          <w:rFonts w:ascii="Times New Roman" w:hAnsi="Times New Roman"/>
          <w:b/>
          <w:bCs/>
          <w:sz w:val="24"/>
          <w:szCs w:val="24"/>
          <w:lang w:val="ro-RO"/>
        </w:rPr>
        <w:t>a (documentul) de înregistrare î</w:t>
      </w:r>
      <w:r w:rsidRPr="00CE2594">
        <w:rPr>
          <w:rFonts w:ascii="Times New Roman" w:hAnsi="Times New Roman"/>
          <w:b/>
          <w:bCs/>
          <w:sz w:val="24"/>
          <w:szCs w:val="24"/>
          <w:lang w:val="ro-RO"/>
        </w:rPr>
        <w:t>n cadrul ofertei publice de obligațiuni</w:t>
      </w:r>
      <w:r w:rsidRPr="00692F7B">
        <w:rPr>
          <w:rFonts w:ascii="Times New Roman" w:hAnsi="Times New Roman"/>
          <w:b/>
          <w:bCs/>
          <w:sz w:val="24"/>
          <w:szCs w:val="24"/>
          <w:lang w:val="ro-RO"/>
        </w:rPr>
        <w:t xml:space="preserve">  emise de APL       </w:t>
      </w:r>
    </w:p>
    <w:p w:rsidR="00D423FF" w:rsidRPr="00692F7B" w:rsidRDefault="00D423FF" w:rsidP="00D423FF">
      <w:pPr>
        <w:spacing w:after="120" w:line="240" w:lineRule="auto"/>
        <w:jc w:val="right"/>
        <w:rPr>
          <w:rFonts w:ascii="Times New Roman" w:eastAsia="Times New Roman" w:hAnsi="Times New Roman"/>
          <w:sz w:val="20"/>
          <w:szCs w:val="20"/>
          <w:lang w:val="ro-RO" w:eastAsia="ru-RU"/>
        </w:rPr>
      </w:pPr>
      <w:r w:rsidRPr="00692F7B">
        <w:rPr>
          <w:rFonts w:ascii="Times New Roman" w:eastAsia="Times New Roman" w:hAnsi="Times New Roman"/>
          <w:sz w:val="20"/>
          <w:szCs w:val="20"/>
          <w:lang w:val="ro-RO" w:eastAsia="ru-RU"/>
        </w:rPr>
        <w:t xml:space="preserve">                        </w:t>
      </w:r>
    </w:p>
    <w:tbl>
      <w:tblPr>
        <w:tblW w:w="9781" w:type="dxa"/>
        <w:tblCellSpacing w:w="0" w:type="dxa"/>
        <w:tblInd w:w="-66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9361"/>
      </w:tblGrid>
      <w:tr w:rsidR="00D423FF" w:rsidRPr="003F7A45"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8C6306" w:rsidRDefault="00D423FF" w:rsidP="00A03FC3">
            <w:pPr>
              <w:pStyle w:val="NoSpacing"/>
              <w:spacing w:after="120"/>
              <w:jc w:val="both"/>
              <w:rPr>
                <w:rFonts w:ascii="Times New Roman" w:hAnsi="Times New Roman"/>
                <w:b/>
                <w:lang w:val="ro-RO"/>
              </w:rPr>
            </w:pPr>
            <w:r w:rsidRPr="003F7A45">
              <w:rPr>
                <w:rStyle w:val="boldface"/>
                <w:rFonts w:ascii="Times New Roman" w:hAnsi="Times New Roman"/>
                <w:szCs w:val="20"/>
                <w:lang w:val="ro-RO"/>
              </w:rPr>
              <w:t xml:space="preserve"> </w:t>
            </w:r>
            <w:r w:rsidRPr="008C6306">
              <w:rPr>
                <w:rStyle w:val="boldface"/>
                <w:rFonts w:ascii="Times New Roman" w:hAnsi="Times New Roman"/>
                <w:b/>
                <w:szCs w:val="20"/>
                <w:lang w:val="ro-RO"/>
              </w:rPr>
              <w:t>1.</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b/>
                <w:lang w:val="ro-RO"/>
              </w:rPr>
            </w:pPr>
            <w:r w:rsidRPr="003F7A45">
              <w:rPr>
                <w:rStyle w:val="boldface"/>
                <w:rFonts w:ascii="Times New Roman" w:hAnsi="Times New Roman"/>
                <w:b/>
                <w:lang w:val="ro-RO"/>
              </w:rPr>
              <w:t>PERSOANE RESPONSABILE</w:t>
            </w:r>
          </w:p>
        </w:tc>
      </w:tr>
      <w:tr w:rsidR="00D423FF" w:rsidRPr="00D423FF" w:rsidTr="00A03FC3">
        <w:trPr>
          <w:trHeight w:val="121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8C6306" w:rsidRDefault="00D423FF" w:rsidP="00A03FC3">
            <w:pPr>
              <w:pStyle w:val="NoSpacing"/>
              <w:spacing w:after="120"/>
              <w:jc w:val="both"/>
              <w:rPr>
                <w:rFonts w:ascii="Times New Roman" w:hAnsi="Times New Roman"/>
                <w:b/>
                <w:lang w:val="ro-RO"/>
              </w:rPr>
            </w:pPr>
            <w:r w:rsidRPr="008C6306">
              <w:rPr>
                <w:rStyle w:val="boldface"/>
                <w:rFonts w:ascii="Times New Roman" w:hAnsi="Times New Roman"/>
                <w:b/>
                <w:szCs w:val="20"/>
                <w:lang w:val="ro-RO"/>
              </w:rPr>
              <w:t>1.1</w:t>
            </w:r>
            <w:r w:rsidRPr="008C6306">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b/>
                <w:lang w:val="ro-RO"/>
              </w:rPr>
            </w:pPr>
            <w:r w:rsidRPr="003F7A45">
              <w:rPr>
                <w:rFonts w:ascii="Times New Roman" w:hAnsi="Times New Roman"/>
                <w:lang w:val="ro-RO"/>
              </w:rPr>
              <w:t xml:space="preserve">Se indică toate persoanele responsabile pentru informațiile incluse în fișa de </w:t>
            </w:r>
            <w:r>
              <w:rPr>
                <w:rFonts w:ascii="Times New Roman" w:hAnsi="Times New Roman"/>
                <w:lang w:val="ro-RO"/>
              </w:rPr>
              <w:t>înregistrare și, dacă e cazul,  cele responsabile</w:t>
            </w:r>
            <w:r w:rsidRPr="003F7A45">
              <w:rPr>
                <w:rFonts w:ascii="Times New Roman" w:hAnsi="Times New Roman"/>
                <w:lang w:val="ro-RO"/>
              </w:rPr>
              <w:t xml:space="preserve"> doar pentru anumite părți ale acesteia, pentru care se vor face precizările corespunzătoare. În cazul persoanelor fizice, inclusiv autoritatea executivă, membri ai autorităţilor reprezentative şi deliberative ale emitentului – se indică numele, prenumele și funcția acestora; în cazul persoanelor juridice - denumirea, IDNO și adresa juridică.</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8C6306" w:rsidRDefault="00D423FF" w:rsidP="00A03FC3">
            <w:pPr>
              <w:pStyle w:val="NoSpacing"/>
              <w:spacing w:after="120"/>
              <w:jc w:val="both"/>
              <w:rPr>
                <w:rFonts w:ascii="Times New Roman" w:hAnsi="Times New Roman"/>
                <w:b/>
                <w:lang w:val="ro-RO"/>
              </w:rPr>
            </w:pPr>
            <w:r w:rsidRPr="008C6306">
              <w:rPr>
                <w:rStyle w:val="boldface"/>
                <w:rFonts w:ascii="Times New Roman" w:hAnsi="Times New Roman"/>
                <w:b/>
                <w:szCs w:val="20"/>
                <w:lang w:val="ro-RO"/>
              </w:rPr>
              <w:t>1.2</w:t>
            </w:r>
            <w:r w:rsidRPr="008C6306">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O declarație a persoanelor responsabile pentru întocmirea  fișei de înregistrare și, dacă e cazul, declarația și</w:t>
            </w:r>
            <w:r w:rsidRPr="003F7A45">
              <w:rPr>
                <w:lang w:val="ro-RO"/>
              </w:rPr>
              <w:t xml:space="preserve"> </w:t>
            </w:r>
            <w:r w:rsidRPr="008C6306">
              <w:rPr>
                <w:rFonts w:ascii="Times New Roman" w:hAnsi="Times New Roman"/>
                <w:lang w:val="ro-RO"/>
              </w:rPr>
              <w:t xml:space="preserve">a </w:t>
            </w:r>
            <w:r>
              <w:rPr>
                <w:rFonts w:ascii="Times New Roman" w:hAnsi="Times New Roman"/>
                <w:lang w:val="ro-RO"/>
              </w:rPr>
              <w:t>celor responsabile</w:t>
            </w:r>
            <w:r w:rsidRPr="003F7A45">
              <w:rPr>
                <w:rFonts w:ascii="Times New Roman" w:hAnsi="Times New Roman"/>
                <w:lang w:val="ro-RO"/>
              </w:rPr>
              <w:t xml:space="preserve"> doar pentru anumite părți ale acestui document, din care să reiasă că, după luarea tuturor măsurilor rezonabile în acest sens, informațiile incluse în documentul de înregistrare/în partea documentului de înregistrare (de precizat care anume) sunt, după cunoștințele lor, conforme cu realitatea și nu conțin omisiuni de natură să afecteze semnificativ conținutul documentul de înregistrare. </w:t>
            </w:r>
          </w:p>
        </w:tc>
      </w:tr>
      <w:tr w:rsidR="00D423FF" w:rsidRPr="003F7A45"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b/>
                <w:lang w:val="ro-RO"/>
              </w:rPr>
            </w:pPr>
            <w:r w:rsidRPr="003F7A45">
              <w:rPr>
                <w:rStyle w:val="boldface"/>
                <w:rFonts w:ascii="Times New Roman" w:hAnsi="Times New Roman"/>
                <w:b/>
                <w:lang w:val="ro-RO"/>
              </w:rPr>
              <w:t>2.</w:t>
            </w:r>
            <w:r w:rsidRPr="003F7A45">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b/>
                <w:lang w:val="ro-RO"/>
              </w:rPr>
            </w:pPr>
            <w:r w:rsidRPr="003F7A45">
              <w:rPr>
                <w:rStyle w:val="boldface"/>
                <w:rFonts w:ascii="Times New Roman" w:hAnsi="Times New Roman"/>
                <w:b/>
                <w:lang w:val="ro-RO"/>
              </w:rPr>
              <w:t>FACTORI DE RISC</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sz w:val="20"/>
                <w:lang w:val="ro-RO"/>
              </w:rPr>
            </w:pPr>
            <w:r w:rsidRPr="003F7A45">
              <w:rPr>
                <w:rFonts w:ascii="Times New Roman" w:hAnsi="Times New Roman"/>
                <w:sz w:val="20"/>
                <w:lang w:val="ro-RO"/>
              </w:rPr>
              <w:t>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Se prezintă, într-o secțiune întitulată „factori de risc”, factorii de risc care ar putea afecta capacitatea emitentului de a-și îndeplini obligațiile impuse de titlurile sale față de investitori.</w:t>
            </w:r>
          </w:p>
        </w:tc>
      </w:tr>
      <w:tr w:rsidR="00D423FF" w:rsidRPr="003F7A45" w:rsidTr="00A03FC3">
        <w:trPr>
          <w:trHeight w:val="2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b/>
                <w:lang w:val="ro-RO"/>
              </w:rPr>
            </w:pPr>
            <w:r w:rsidRPr="003F7A45">
              <w:rPr>
                <w:rStyle w:val="boldface"/>
                <w:rFonts w:ascii="Times New Roman" w:hAnsi="Times New Roman"/>
                <w:b/>
                <w:lang w:val="ro-RO"/>
              </w:rPr>
              <w:t>3.</w:t>
            </w:r>
            <w:r w:rsidRPr="003F7A45">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b/>
                <w:lang w:val="ro-RO"/>
              </w:rPr>
            </w:pPr>
            <w:r w:rsidRPr="003F7A45">
              <w:rPr>
                <w:rStyle w:val="boldface"/>
                <w:rFonts w:ascii="Times New Roman" w:hAnsi="Times New Roman"/>
                <w:b/>
                <w:lang w:val="ro-RO"/>
              </w:rPr>
              <w:t>INFORMAȚII DESPRE EMITENT</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b/>
                <w:lang w:val="ro-RO"/>
              </w:rPr>
            </w:pPr>
            <w:r w:rsidRPr="003F7A45">
              <w:rPr>
                <w:rStyle w:val="boldface"/>
                <w:rFonts w:ascii="Times New Roman" w:hAnsi="Times New Roman"/>
                <w:b/>
                <w:szCs w:val="20"/>
                <w:lang w:val="ro-RO"/>
              </w:rPr>
              <w:t>3.1</w:t>
            </w:r>
            <w:r w:rsidRPr="003F7A45">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Denumirea legală a emitentului și o scurtă descriere a poziției sale în cadrul administrației naționale.</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b/>
                <w:lang w:val="ro-RO"/>
              </w:rPr>
            </w:pPr>
            <w:r w:rsidRPr="003F7A45">
              <w:rPr>
                <w:rStyle w:val="boldface"/>
                <w:rFonts w:ascii="Times New Roman" w:hAnsi="Times New Roman"/>
                <w:b/>
                <w:szCs w:val="20"/>
                <w:lang w:val="ro-RO"/>
              </w:rPr>
              <w:t>3.2</w:t>
            </w:r>
            <w:r w:rsidRPr="003F7A45">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Sediul sau locația geografică a emitentului, forma sa juridică, precum și adresa și numărul de telefon la care poate fi contactat.</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b/>
                <w:lang w:val="ro-RO"/>
              </w:rPr>
            </w:pPr>
            <w:r w:rsidRPr="003F7A45">
              <w:rPr>
                <w:rStyle w:val="boldface"/>
                <w:rFonts w:ascii="Times New Roman" w:hAnsi="Times New Roman"/>
                <w:b/>
                <w:szCs w:val="20"/>
                <w:lang w:val="ro-RO"/>
              </w:rPr>
              <w:t>3.3</w:t>
            </w:r>
            <w:r w:rsidRPr="003F7A45">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 xml:space="preserve">O descriere generală a sistemului de guvernare al emitentului, inclusiv precizări privind organul său de guvernare.  </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lang w:val="ro-RO"/>
              </w:rPr>
            </w:pPr>
            <w:r w:rsidRPr="003F7A45">
              <w:rPr>
                <w:rStyle w:val="boldface"/>
                <w:rFonts w:ascii="Times New Roman" w:hAnsi="Times New Roman"/>
                <w:b/>
                <w:szCs w:val="20"/>
                <w:lang w:val="ro-RO"/>
              </w:rPr>
              <w:t>3.4</w:t>
            </w:r>
            <w:r w:rsidRPr="003F7A45">
              <w:rPr>
                <w:rFonts w:ascii="Times New Roman" w:hAnsi="Times New Roman"/>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ind w:left="102" w:right="96"/>
              <w:jc w:val="both"/>
              <w:rPr>
                <w:rFonts w:ascii="Times New Roman" w:hAnsi="Times New Roman"/>
                <w:lang w:val="ro-RO"/>
              </w:rPr>
            </w:pPr>
            <w:r w:rsidRPr="003F7A45">
              <w:rPr>
                <w:rFonts w:ascii="Times New Roman" w:hAnsi="Times New Roman"/>
                <w:lang w:val="ro-RO"/>
              </w:rPr>
              <w:t>O descriere a economiei emitentului, în special:</w:t>
            </w:r>
          </w:p>
          <w:p w:rsidR="00D423FF" w:rsidRPr="003F7A45" w:rsidRDefault="00D423FF" w:rsidP="00A03FC3">
            <w:pPr>
              <w:pStyle w:val="NoSpacing"/>
              <w:ind w:left="102" w:right="96"/>
              <w:jc w:val="both"/>
              <w:rPr>
                <w:rFonts w:ascii="Times New Roman" w:hAnsi="Times New Roman"/>
                <w:lang w:val="ro-RO"/>
              </w:rPr>
            </w:pPr>
            <w:r w:rsidRPr="003F7A45">
              <w:rPr>
                <w:rFonts w:ascii="Times New Roman" w:hAnsi="Times New Roman"/>
                <w:lang w:val="ro-RO"/>
              </w:rPr>
              <w:t>(a)  structura veniturilor sale, cu o detaliere a principalelor surse;</w:t>
            </w:r>
          </w:p>
          <w:p w:rsidR="00D423FF" w:rsidRPr="003F7A45" w:rsidRDefault="00D423FF" w:rsidP="00A03FC3">
            <w:pPr>
              <w:pStyle w:val="NoSpacing"/>
              <w:ind w:left="102" w:right="96"/>
              <w:jc w:val="both"/>
              <w:rPr>
                <w:rFonts w:ascii="Times New Roman" w:hAnsi="Times New Roman"/>
                <w:lang w:val="ro-RO"/>
              </w:rPr>
            </w:pPr>
            <w:r w:rsidRPr="003F7A45">
              <w:rPr>
                <w:rFonts w:ascii="Times New Roman" w:hAnsi="Times New Roman"/>
                <w:lang w:val="ro-RO"/>
              </w:rPr>
              <w:t>(b)  </w:t>
            </w:r>
            <w:r>
              <w:rPr>
                <w:rFonts w:ascii="Times New Roman" w:hAnsi="Times New Roman"/>
                <w:lang w:val="ro-RO"/>
              </w:rPr>
              <w:t>execuț</w:t>
            </w:r>
            <w:r w:rsidRPr="003F7A45">
              <w:rPr>
                <w:rFonts w:ascii="Times New Roman" w:hAnsi="Times New Roman"/>
                <w:lang w:val="ro-RO"/>
              </w:rPr>
              <w:t>ia bugetului  pentru ultimele două exerciții bugetare</w:t>
            </w:r>
            <w:r>
              <w:rPr>
                <w:rFonts w:ascii="Times New Roman" w:hAnsi="Times New Roman"/>
                <w:lang w:val="ro-RO"/>
              </w:rPr>
              <w:t>.</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lang w:val="ro-RO"/>
              </w:rPr>
            </w:pPr>
            <w:r w:rsidRPr="003F7A45">
              <w:rPr>
                <w:rStyle w:val="boldface"/>
                <w:rFonts w:ascii="Times New Roman" w:hAnsi="Times New Roman"/>
                <w:b/>
                <w:szCs w:val="20"/>
                <w:lang w:val="ro-RO"/>
              </w:rPr>
              <w:t>3.5</w:t>
            </w:r>
            <w:r w:rsidRPr="003F7A45">
              <w:rPr>
                <w:rFonts w:ascii="Times New Roman" w:hAnsi="Times New Roman"/>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Evenimentele recente relevante pentru evaluarea solvabilității emitentului.</w:t>
            </w:r>
          </w:p>
        </w:tc>
      </w:tr>
      <w:tr w:rsidR="00D423FF" w:rsidRPr="003F7A45"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b/>
                <w:lang w:val="ro-RO"/>
              </w:rPr>
            </w:pPr>
            <w:r w:rsidRPr="003F7A45">
              <w:rPr>
                <w:rStyle w:val="boldface"/>
                <w:rFonts w:ascii="Times New Roman" w:hAnsi="Times New Roman"/>
                <w:b/>
                <w:lang w:val="ro-RO"/>
              </w:rPr>
              <w:t>4.</w:t>
            </w:r>
            <w:r w:rsidRPr="003F7A45">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b/>
                <w:lang w:val="ro-RO"/>
              </w:rPr>
            </w:pPr>
            <w:r w:rsidRPr="003F7A45">
              <w:rPr>
                <w:rStyle w:val="boldface"/>
                <w:rFonts w:ascii="Times New Roman" w:hAnsi="Times New Roman"/>
                <w:b/>
                <w:lang w:val="ro-RO"/>
              </w:rPr>
              <w:t>FINANȚE PUBLICE</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b/>
                <w:lang w:val="ro-RO"/>
              </w:rPr>
            </w:pPr>
            <w:r w:rsidRPr="003F7A45">
              <w:rPr>
                <w:rStyle w:val="boldface"/>
                <w:rFonts w:ascii="Times New Roman" w:hAnsi="Times New Roman"/>
                <w:b/>
                <w:szCs w:val="20"/>
                <w:lang w:val="ro-RO"/>
              </w:rPr>
              <w:t>4.1</w:t>
            </w:r>
            <w:r w:rsidRPr="003F7A45">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rm"/>
              <w:spacing w:before="0" w:beforeAutospacing="0" w:after="0" w:afterAutospacing="0"/>
              <w:ind w:left="102" w:right="96"/>
              <w:rPr>
                <w:rFonts w:eastAsia="Calibri"/>
                <w:sz w:val="22"/>
                <w:szCs w:val="22"/>
                <w:lang w:val="ro-RO" w:eastAsia="en-US"/>
              </w:rPr>
            </w:pPr>
            <w:r w:rsidRPr="003F7A45">
              <w:rPr>
                <w:rFonts w:eastAsia="Calibri"/>
                <w:sz w:val="22"/>
                <w:szCs w:val="22"/>
                <w:lang w:val="ro-RO" w:eastAsia="en-US"/>
              </w:rPr>
              <w:t>Următoarele informații pentru ultimele două exerciții bugetare anterioare datei intocmirii fișei de înregistrare:</w:t>
            </w:r>
          </w:p>
          <w:p w:rsidR="00D423FF" w:rsidRPr="003F7A45" w:rsidRDefault="00D423FF" w:rsidP="00A03FC3">
            <w:pPr>
              <w:pStyle w:val="norm"/>
              <w:spacing w:before="0" w:beforeAutospacing="0" w:after="0" w:afterAutospacing="0"/>
              <w:ind w:left="102" w:right="96"/>
              <w:rPr>
                <w:rFonts w:eastAsia="Calibri"/>
                <w:sz w:val="22"/>
                <w:szCs w:val="22"/>
                <w:lang w:val="ro-RO" w:eastAsia="en-US"/>
              </w:rPr>
            </w:pPr>
            <w:r w:rsidRPr="003F7A45">
              <w:rPr>
                <w:rFonts w:eastAsia="Calibri"/>
                <w:sz w:val="22"/>
                <w:szCs w:val="22"/>
                <w:lang w:val="ro-RO" w:eastAsia="en-US"/>
              </w:rPr>
              <w:t>(a)  sistemele fiscal și bugetar;</w:t>
            </w:r>
          </w:p>
          <w:p w:rsidR="00D423FF" w:rsidRPr="003F7A45" w:rsidRDefault="00D423FF" w:rsidP="00A03FC3">
            <w:pPr>
              <w:pStyle w:val="norm"/>
              <w:spacing w:before="0" w:beforeAutospacing="0" w:after="0" w:afterAutospacing="0"/>
              <w:ind w:left="102" w:right="96"/>
              <w:rPr>
                <w:rFonts w:eastAsia="Calibri"/>
                <w:sz w:val="22"/>
                <w:szCs w:val="22"/>
                <w:lang w:val="ro-RO" w:eastAsia="en-US"/>
              </w:rPr>
            </w:pPr>
            <w:r w:rsidRPr="003F7A45">
              <w:rPr>
                <w:rFonts w:eastAsia="Calibri"/>
                <w:sz w:val="22"/>
                <w:szCs w:val="22"/>
                <w:lang w:val="ro-RO" w:eastAsia="en-US"/>
              </w:rPr>
              <w:t>(b)  datoria publică brută, inclusiv o prezentare sintetică a istoricului datoriei, a structurii scadențelor pentru sumele nerambursate (cu indicarea datoriilor cu durata reziduală mai mică de un an) și a plăților, precum și părțile din datorie exprimate în moneda națională și în devize;</w:t>
            </w:r>
          </w:p>
          <w:p w:rsidR="00D423FF" w:rsidRPr="003F7A45" w:rsidRDefault="00D423FF" w:rsidP="00A03FC3">
            <w:pPr>
              <w:pStyle w:val="norm"/>
              <w:spacing w:before="0" w:beforeAutospacing="0" w:after="0" w:afterAutospacing="0"/>
              <w:ind w:left="102" w:right="96"/>
              <w:rPr>
                <w:rFonts w:eastAsia="Calibri"/>
                <w:sz w:val="22"/>
                <w:szCs w:val="22"/>
                <w:lang w:val="ro-RO" w:eastAsia="en-US"/>
              </w:rPr>
            </w:pPr>
            <w:r w:rsidRPr="003F7A45">
              <w:rPr>
                <w:rFonts w:eastAsia="Calibri"/>
                <w:sz w:val="22"/>
                <w:szCs w:val="22"/>
                <w:lang w:val="ro-RO" w:eastAsia="en-US"/>
              </w:rPr>
              <w:t>(c)  situația și resursele financiare, inclusiv depozitele lichide disponibile în moneda națională;</w:t>
            </w:r>
          </w:p>
          <w:p w:rsidR="00D423FF" w:rsidRPr="003F7A45" w:rsidRDefault="00D423FF" w:rsidP="00A03FC3">
            <w:pPr>
              <w:pStyle w:val="norm"/>
              <w:spacing w:before="0" w:beforeAutospacing="0" w:after="0" w:afterAutospacing="0"/>
              <w:ind w:left="102" w:right="96"/>
              <w:rPr>
                <w:rFonts w:eastAsia="Calibri"/>
                <w:sz w:val="22"/>
                <w:szCs w:val="22"/>
                <w:lang w:val="ro-RO" w:eastAsia="en-US"/>
              </w:rPr>
            </w:pPr>
            <w:r w:rsidRPr="003F7A45">
              <w:rPr>
                <w:rFonts w:eastAsia="Calibri"/>
                <w:sz w:val="22"/>
                <w:szCs w:val="22"/>
                <w:lang w:val="ro-RO" w:eastAsia="en-US"/>
              </w:rPr>
              <w:t>(d)  venituri și cheltuieli.</w:t>
            </w:r>
          </w:p>
          <w:p w:rsidR="00D423FF" w:rsidRPr="00DA40DE" w:rsidRDefault="00D423FF" w:rsidP="00A03FC3">
            <w:pPr>
              <w:pStyle w:val="norm"/>
              <w:spacing w:before="0" w:beforeAutospacing="0" w:after="0" w:afterAutospacing="0"/>
              <w:ind w:left="102" w:right="96"/>
              <w:rPr>
                <w:lang w:val="en-US"/>
              </w:rPr>
            </w:pPr>
            <w:r w:rsidRPr="003F7A45">
              <w:rPr>
                <w:rFonts w:eastAsia="Calibri"/>
                <w:sz w:val="22"/>
                <w:szCs w:val="22"/>
                <w:lang w:val="ro-RO" w:eastAsia="en-US"/>
              </w:rPr>
              <w:lastRenderedPageBreak/>
              <w:t>O descriere a procedurilor de audit și de verificare externă independentă aplicabile conturilor emitentului.</w:t>
            </w:r>
          </w:p>
        </w:tc>
      </w:tr>
      <w:tr w:rsidR="00D423FF" w:rsidRPr="003F7A45"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Style w:val="boldface"/>
                <w:rFonts w:ascii="Times New Roman" w:hAnsi="Times New Roman"/>
                <w:b/>
                <w:lang w:val="ro-RO"/>
              </w:rPr>
            </w:pPr>
            <w:r w:rsidRPr="003F7A45">
              <w:rPr>
                <w:rStyle w:val="boldface"/>
                <w:rFonts w:ascii="Times New Roman" w:hAnsi="Times New Roman"/>
                <w:b/>
                <w:lang w:val="ro-RO"/>
              </w:rPr>
              <w:lastRenderedPageBreak/>
              <w:t>5.</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Style w:val="boldface"/>
                <w:rFonts w:ascii="Times New Roman" w:hAnsi="Times New Roman"/>
                <w:b/>
                <w:lang w:val="ro-RO"/>
              </w:rPr>
            </w:pPr>
            <w:r w:rsidRPr="003F7A45">
              <w:rPr>
                <w:rStyle w:val="boldface"/>
                <w:rFonts w:ascii="Times New Roman" w:hAnsi="Times New Roman"/>
                <w:b/>
                <w:lang w:val="ro-RO"/>
              </w:rPr>
              <w:t>SCHIMBĂRI SEMNIFICATIVE</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Style w:val="boldface"/>
                <w:rFonts w:ascii="Times New Roman" w:hAnsi="Times New Roman"/>
                <w:b/>
                <w:lang w:val="ro-RO"/>
              </w:rPr>
            </w:pPr>
            <w:r w:rsidRPr="003F7A45">
              <w:rPr>
                <w:rStyle w:val="boldface"/>
                <w:rFonts w:ascii="Times New Roman" w:hAnsi="Times New Roman"/>
                <w:b/>
                <w:lang w:val="ro-RO"/>
              </w:rPr>
              <w:t>5.1</w:t>
            </w:r>
          </w:p>
        </w:tc>
        <w:tc>
          <w:tcPr>
            <w:tcW w:w="9361" w:type="dxa"/>
            <w:tcBorders>
              <w:top w:val="outset" w:sz="6" w:space="0" w:color="auto"/>
              <w:left w:val="outset" w:sz="6" w:space="0" w:color="auto"/>
              <w:bottom w:val="outset" w:sz="6" w:space="0" w:color="auto"/>
              <w:right w:val="outset" w:sz="6" w:space="0" w:color="auto"/>
            </w:tcBorders>
            <w:hideMark/>
          </w:tcPr>
          <w:p w:rsidR="00D423FF" w:rsidRPr="008A3157" w:rsidRDefault="00D423FF" w:rsidP="00A03FC3">
            <w:pPr>
              <w:pStyle w:val="norm"/>
              <w:spacing w:before="0" w:beforeAutospacing="0" w:after="0" w:afterAutospacing="0"/>
              <w:ind w:left="102" w:right="96"/>
              <w:rPr>
                <w:rStyle w:val="boldface"/>
                <w:b/>
                <w:lang w:val="en-US"/>
              </w:rPr>
            </w:pPr>
            <w:r w:rsidRPr="003F7A45">
              <w:rPr>
                <w:rFonts w:eastAsia="Calibri"/>
                <w:sz w:val="22"/>
                <w:szCs w:val="22"/>
                <w:lang w:val="ro-RO" w:eastAsia="en-US"/>
              </w:rPr>
              <w:t>Orice schimbare semnificativă intervenită în informațiile furnizate în temeiul punctului 4 de la sfârșitul ultimului exercițiu bugetar sau o declarație negativă adecvată în acest sens.</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lang w:val="ro-RO"/>
              </w:rPr>
            </w:pPr>
            <w:r w:rsidRPr="003F7A45">
              <w:rPr>
                <w:rStyle w:val="boldface"/>
                <w:rFonts w:ascii="Times New Roman" w:hAnsi="Times New Roman"/>
                <w:b/>
                <w:lang w:val="ro-RO"/>
              </w:rPr>
              <w:t>6.</w:t>
            </w:r>
            <w:r w:rsidRPr="003F7A45">
              <w:rPr>
                <w:rFonts w:ascii="Times New Roman" w:hAnsi="Times New Roman"/>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Style w:val="boldface"/>
                <w:rFonts w:ascii="Times New Roman" w:hAnsi="Times New Roman"/>
                <w:b/>
                <w:lang w:val="ro-RO"/>
              </w:rPr>
              <w:t>PROCEDURI JUDICIARE ȘI DE ARBITRAJ</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Style w:val="boldface"/>
                <w:b/>
              </w:rPr>
            </w:pPr>
            <w:r w:rsidRPr="003F7A45">
              <w:rPr>
                <w:rStyle w:val="boldface"/>
                <w:rFonts w:ascii="Times New Roman" w:hAnsi="Times New Roman"/>
                <w:b/>
                <w:lang w:val="ro-RO"/>
              </w:rPr>
              <w:t>6.1</w:t>
            </w:r>
            <w:r w:rsidRPr="003F7A45">
              <w:rPr>
                <w:rStyle w:val="boldface"/>
                <w:b/>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Informații privind orice procedură guvernamentală, judiciară sau de arbitraj (inclusiv orice astfel de procedură în derulare sau potențială de care emitentul are cunoștință) din ultimele douăsprezece luni, cel puțin, care ar putea avea sau a avut recent efecte semnificative asupra situației financiare a emitentului sau o declarație negativă adecvată în acest sens.</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Style w:val="boldface"/>
                <w:b/>
              </w:rPr>
            </w:pPr>
            <w:r w:rsidRPr="003F7A45">
              <w:rPr>
                <w:rStyle w:val="boldface"/>
                <w:rFonts w:ascii="Times New Roman" w:hAnsi="Times New Roman"/>
                <w:b/>
                <w:lang w:val="ro-RO"/>
              </w:rPr>
              <w:t>6.2</w:t>
            </w:r>
            <w:r w:rsidRPr="003F7A45">
              <w:rPr>
                <w:rStyle w:val="boldface"/>
                <w:b/>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Mențiuni privind eventuala imunitate a emitentului în cazul unor proceduri judiciare</w:t>
            </w:r>
            <w:r>
              <w:rPr>
                <w:rFonts w:ascii="Times New Roman" w:hAnsi="Times New Roman"/>
                <w:lang w:val="ro-RO"/>
              </w:rPr>
              <w:t>.</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8C6306" w:rsidRDefault="00D423FF" w:rsidP="00A03FC3">
            <w:pPr>
              <w:pStyle w:val="NoSpacing"/>
              <w:spacing w:after="120"/>
              <w:jc w:val="both"/>
              <w:rPr>
                <w:rFonts w:ascii="Times New Roman" w:hAnsi="Times New Roman"/>
                <w:b/>
                <w:lang w:val="ro-RO"/>
              </w:rPr>
            </w:pPr>
            <w:r w:rsidRPr="008C6306">
              <w:rPr>
                <w:rStyle w:val="boldface"/>
                <w:rFonts w:ascii="Times New Roman" w:hAnsi="Times New Roman"/>
                <w:b/>
                <w:szCs w:val="20"/>
                <w:lang w:val="ro-RO"/>
              </w:rPr>
              <w:t>7.</w:t>
            </w:r>
            <w:r w:rsidRPr="008C6306">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b/>
                <w:lang w:val="ro-RO"/>
              </w:rPr>
            </w:pPr>
            <w:r w:rsidRPr="003F7A45">
              <w:rPr>
                <w:rStyle w:val="boldface"/>
                <w:rFonts w:ascii="Times New Roman" w:hAnsi="Times New Roman"/>
                <w:b/>
                <w:lang w:val="ro-RO"/>
              </w:rPr>
              <w:t>DECLARAȚII ALE EXPERȚILOR ȘI DECLARAȚII DE INTERESE</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sz w:val="20"/>
                <w:lang w:val="ro-RO"/>
              </w:rPr>
            </w:pPr>
            <w:r w:rsidRPr="003F7A45">
              <w:rPr>
                <w:rFonts w:ascii="Times New Roman" w:hAnsi="Times New Roman"/>
                <w:sz w:val="20"/>
                <w:lang w:val="ro-RO"/>
              </w:rPr>
              <w:t>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În cazul în care documentul de înregistrare conține o declarație sau un raport atribuite unei persoane care acționează în calitate de expert, se indică numele, adresa de la locul de muncă și calificările persoanei în cauză. Dacă raportul sau declarația au fost întocmite la cererea emitentului, se anexează o declarație prin care se confirmă faptul că documentele în cauză au fost incluse, în forma și în contextul respectiv, cu consimțământul persoanei în cauză.</w:t>
            </w:r>
          </w:p>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Informațiile cunoscute de emitent cu privire la orice interes care ar putea afecta independența expertului în elaborarea raportului său.</w:t>
            </w:r>
          </w:p>
        </w:tc>
      </w:tr>
      <w:tr w:rsidR="00D423FF" w:rsidRPr="00D423FF" w:rsidTr="00A03F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23FF" w:rsidRPr="008C6306" w:rsidRDefault="00D423FF" w:rsidP="00A03FC3">
            <w:pPr>
              <w:pStyle w:val="NoSpacing"/>
              <w:spacing w:after="120"/>
              <w:jc w:val="both"/>
              <w:rPr>
                <w:rFonts w:ascii="Times New Roman" w:hAnsi="Times New Roman"/>
                <w:b/>
                <w:lang w:val="ro-RO"/>
              </w:rPr>
            </w:pPr>
            <w:r w:rsidRPr="008C6306">
              <w:rPr>
                <w:rStyle w:val="boldface"/>
                <w:rFonts w:ascii="Times New Roman" w:hAnsi="Times New Roman"/>
                <w:b/>
                <w:szCs w:val="20"/>
                <w:lang w:val="ro-RO"/>
              </w:rPr>
              <w:t>8.</w:t>
            </w:r>
            <w:r w:rsidRPr="008C6306">
              <w:rPr>
                <w:rFonts w:ascii="Times New Roman" w:hAnsi="Times New Roman"/>
                <w:b/>
                <w:lang w:val="ro-RO"/>
              </w:rPr>
              <w:t xml:space="preserve">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b/>
                <w:lang w:val="ro-RO"/>
              </w:rPr>
            </w:pPr>
            <w:r w:rsidRPr="003F7A45">
              <w:rPr>
                <w:rStyle w:val="boldface"/>
                <w:rFonts w:ascii="Times New Roman" w:hAnsi="Times New Roman"/>
                <w:b/>
                <w:lang w:val="ro-RO"/>
              </w:rPr>
              <w:t>DOCUMENTE PUSE LA DISPOZIȚIA PUBLICULUI</w:t>
            </w:r>
          </w:p>
        </w:tc>
      </w:tr>
      <w:tr w:rsidR="00D423FF" w:rsidRPr="00D423FF" w:rsidTr="00A03FC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jc w:val="both"/>
              <w:rPr>
                <w:rFonts w:ascii="Times New Roman" w:hAnsi="Times New Roman"/>
                <w:sz w:val="20"/>
                <w:lang w:val="ro-RO"/>
              </w:rPr>
            </w:pPr>
            <w:r w:rsidRPr="003F7A45">
              <w:rPr>
                <w:rFonts w:ascii="Times New Roman" w:hAnsi="Times New Roman"/>
                <w:sz w:val="20"/>
                <w:lang w:val="ro-RO"/>
              </w:rPr>
              <w:t> </w:t>
            </w:r>
          </w:p>
        </w:tc>
        <w:tc>
          <w:tcPr>
            <w:tcW w:w="9361" w:type="dxa"/>
            <w:tcBorders>
              <w:top w:val="outset" w:sz="6" w:space="0" w:color="auto"/>
              <w:left w:val="outset" w:sz="6" w:space="0" w:color="auto"/>
              <w:bottom w:val="outset" w:sz="6" w:space="0" w:color="auto"/>
              <w:right w:val="outset" w:sz="6" w:space="0" w:color="auto"/>
            </w:tcBorders>
            <w:hideMark/>
          </w:tcPr>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O declarație prin care se confirmă faptul că, în perioada de valabilitate a documentului de înregistrare, pot fi consultate, după caz, următoarele documente (sau copii ale acestora):</w:t>
            </w:r>
          </w:p>
          <w:p w:rsidR="00D423FF" w:rsidRPr="003F7A45" w:rsidRDefault="00D423FF" w:rsidP="00A03FC3">
            <w:pPr>
              <w:pStyle w:val="NoSpacing"/>
              <w:spacing w:after="120"/>
              <w:ind w:left="102" w:right="96"/>
              <w:jc w:val="both"/>
              <w:rPr>
                <w:rFonts w:ascii="Times New Roman" w:hAnsi="Times New Roman"/>
                <w:lang w:val="en-US"/>
              </w:rPr>
            </w:pPr>
            <w:r w:rsidRPr="003F7A45">
              <w:rPr>
                <w:rFonts w:ascii="Times New Roman" w:hAnsi="Times New Roman"/>
                <w:lang w:val="ro-RO"/>
              </w:rPr>
              <w:t>(a)  </w:t>
            </w:r>
            <w:proofErr w:type="spellStart"/>
            <w:r w:rsidRPr="003F7A45">
              <w:rPr>
                <w:rFonts w:ascii="Times New Roman" w:hAnsi="Times New Roman"/>
                <w:lang w:val="en-US"/>
              </w:rPr>
              <w:t>rapoartele</w:t>
            </w:r>
            <w:proofErr w:type="spellEnd"/>
            <w:r w:rsidRPr="003F7A45">
              <w:rPr>
                <w:rFonts w:ascii="Times New Roman" w:hAnsi="Times New Roman"/>
                <w:lang w:val="en-US"/>
              </w:rPr>
              <w:t xml:space="preserve"> </w:t>
            </w:r>
            <w:proofErr w:type="spellStart"/>
            <w:r w:rsidRPr="003F7A45">
              <w:rPr>
                <w:rFonts w:ascii="Times New Roman" w:hAnsi="Times New Roman"/>
                <w:lang w:val="en-US"/>
              </w:rPr>
              <w:t>anuale</w:t>
            </w:r>
            <w:proofErr w:type="spellEnd"/>
            <w:r w:rsidRPr="003F7A45">
              <w:rPr>
                <w:rFonts w:ascii="Times New Roman" w:hAnsi="Times New Roman"/>
                <w:lang w:val="en-US"/>
              </w:rPr>
              <w:t xml:space="preserve"> </w:t>
            </w:r>
            <w:proofErr w:type="spellStart"/>
            <w:r w:rsidRPr="003F7A45">
              <w:rPr>
                <w:rFonts w:ascii="Times New Roman" w:hAnsi="Times New Roman"/>
                <w:lang w:val="en-US"/>
              </w:rPr>
              <w:t>și</w:t>
            </w:r>
            <w:proofErr w:type="spellEnd"/>
            <w:r w:rsidRPr="003F7A45">
              <w:rPr>
                <w:rFonts w:ascii="Times New Roman" w:hAnsi="Times New Roman"/>
                <w:lang w:val="en-US"/>
              </w:rPr>
              <w:t xml:space="preserve"> de audit ale </w:t>
            </w:r>
            <w:proofErr w:type="spellStart"/>
            <w:r w:rsidRPr="003F7A45">
              <w:rPr>
                <w:rFonts w:ascii="Times New Roman" w:hAnsi="Times New Roman"/>
                <w:lang w:val="en-US"/>
              </w:rPr>
              <w:t>emitentului</w:t>
            </w:r>
            <w:proofErr w:type="spellEnd"/>
            <w:r w:rsidRPr="003F7A45">
              <w:rPr>
                <w:rFonts w:ascii="Times New Roman" w:hAnsi="Times New Roman"/>
                <w:lang w:val="en-US"/>
              </w:rPr>
              <w:t xml:space="preserve"> </w:t>
            </w:r>
            <w:proofErr w:type="spellStart"/>
            <w:r w:rsidRPr="003F7A45">
              <w:rPr>
                <w:rFonts w:ascii="Times New Roman" w:hAnsi="Times New Roman"/>
                <w:lang w:val="en-US"/>
              </w:rPr>
              <w:t>pentru</w:t>
            </w:r>
            <w:proofErr w:type="spellEnd"/>
            <w:r w:rsidRPr="003F7A45">
              <w:rPr>
                <w:rFonts w:ascii="Times New Roman" w:hAnsi="Times New Roman"/>
                <w:lang w:val="en-US"/>
              </w:rPr>
              <w:t xml:space="preserve"> </w:t>
            </w:r>
            <w:proofErr w:type="spellStart"/>
            <w:r w:rsidRPr="003F7A45">
              <w:rPr>
                <w:rFonts w:ascii="Times New Roman" w:hAnsi="Times New Roman"/>
                <w:lang w:val="en-US"/>
              </w:rPr>
              <w:t>ultimele</w:t>
            </w:r>
            <w:proofErr w:type="spellEnd"/>
            <w:r w:rsidRPr="003F7A45">
              <w:rPr>
                <w:rFonts w:ascii="Times New Roman" w:hAnsi="Times New Roman"/>
                <w:lang w:val="en-US"/>
              </w:rPr>
              <w:t xml:space="preserve"> </w:t>
            </w:r>
            <w:proofErr w:type="spellStart"/>
            <w:r w:rsidRPr="003F7A45">
              <w:rPr>
                <w:rFonts w:ascii="Times New Roman" w:hAnsi="Times New Roman"/>
                <w:lang w:val="en-US"/>
              </w:rPr>
              <w:t>două</w:t>
            </w:r>
            <w:proofErr w:type="spellEnd"/>
            <w:r w:rsidRPr="003F7A45">
              <w:rPr>
                <w:rFonts w:ascii="Times New Roman" w:hAnsi="Times New Roman"/>
                <w:lang w:val="en-US"/>
              </w:rPr>
              <w:t xml:space="preserve"> </w:t>
            </w:r>
            <w:proofErr w:type="spellStart"/>
            <w:r w:rsidRPr="003F7A45">
              <w:rPr>
                <w:rFonts w:ascii="Times New Roman" w:hAnsi="Times New Roman"/>
                <w:lang w:val="en-US"/>
              </w:rPr>
              <w:t>exerciții</w:t>
            </w:r>
            <w:proofErr w:type="spellEnd"/>
            <w:r w:rsidRPr="003F7A45">
              <w:rPr>
                <w:rFonts w:ascii="Times New Roman" w:hAnsi="Times New Roman"/>
                <w:lang w:val="en-US"/>
              </w:rPr>
              <w:t xml:space="preserve"> </w:t>
            </w:r>
            <w:proofErr w:type="spellStart"/>
            <w:r w:rsidRPr="003F7A45">
              <w:rPr>
                <w:rFonts w:ascii="Times New Roman" w:hAnsi="Times New Roman"/>
                <w:lang w:val="en-US"/>
              </w:rPr>
              <w:t>bugetare</w:t>
            </w:r>
            <w:proofErr w:type="spellEnd"/>
            <w:r w:rsidRPr="003F7A45">
              <w:rPr>
                <w:rFonts w:ascii="Times New Roman" w:hAnsi="Times New Roman"/>
                <w:lang w:val="en-US"/>
              </w:rPr>
              <w:t xml:space="preserve"> </w:t>
            </w:r>
            <w:proofErr w:type="spellStart"/>
            <w:r w:rsidRPr="003F7A45">
              <w:rPr>
                <w:rFonts w:ascii="Times New Roman" w:hAnsi="Times New Roman"/>
                <w:lang w:val="en-US"/>
              </w:rPr>
              <w:t>și</w:t>
            </w:r>
            <w:proofErr w:type="spellEnd"/>
            <w:r w:rsidRPr="003F7A45">
              <w:rPr>
                <w:rFonts w:ascii="Times New Roman" w:hAnsi="Times New Roman"/>
                <w:lang w:val="en-US"/>
              </w:rPr>
              <w:t xml:space="preserve"> </w:t>
            </w:r>
            <w:proofErr w:type="spellStart"/>
            <w:r w:rsidRPr="003F7A45">
              <w:rPr>
                <w:rFonts w:ascii="Times New Roman" w:hAnsi="Times New Roman"/>
                <w:lang w:val="en-US"/>
              </w:rPr>
              <w:t>bugetul</w:t>
            </w:r>
            <w:proofErr w:type="spellEnd"/>
            <w:r w:rsidRPr="003F7A45">
              <w:rPr>
                <w:rFonts w:ascii="Times New Roman" w:hAnsi="Times New Roman"/>
                <w:lang w:val="en-US"/>
              </w:rPr>
              <w:t xml:space="preserve"> </w:t>
            </w:r>
            <w:proofErr w:type="spellStart"/>
            <w:r w:rsidRPr="003F7A45">
              <w:rPr>
                <w:rFonts w:ascii="Times New Roman" w:hAnsi="Times New Roman"/>
                <w:lang w:val="en-US"/>
              </w:rPr>
              <w:t>exercițiului</w:t>
            </w:r>
            <w:proofErr w:type="spellEnd"/>
            <w:r w:rsidRPr="003F7A45">
              <w:rPr>
                <w:rFonts w:ascii="Times New Roman" w:hAnsi="Times New Roman"/>
                <w:lang w:val="en-US"/>
              </w:rPr>
              <w:t xml:space="preserve"> </w:t>
            </w:r>
            <w:proofErr w:type="spellStart"/>
            <w:r w:rsidRPr="003F7A45">
              <w:rPr>
                <w:rFonts w:ascii="Times New Roman" w:hAnsi="Times New Roman"/>
                <w:lang w:val="en-US"/>
              </w:rPr>
              <w:t>în</w:t>
            </w:r>
            <w:proofErr w:type="spellEnd"/>
            <w:r w:rsidRPr="003F7A45">
              <w:rPr>
                <w:rFonts w:ascii="Times New Roman" w:hAnsi="Times New Roman"/>
                <w:lang w:val="en-US"/>
              </w:rPr>
              <w:t xml:space="preserve"> curs;</w:t>
            </w:r>
          </w:p>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(b)  toate rapoartele, corespondența și alte documente, evaluările și declarațiile făcute de un expert la solicitarea emitentului, din care anumite părți sunt incluse sau menționate în fișa de înregistrare;</w:t>
            </w:r>
          </w:p>
          <w:p w:rsidR="00D423FF" w:rsidRPr="003F7A45" w:rsidRDefault="00D423FF" w:rsidP="00A03FC3">
            <w:pPr>
              <w:pStyle w:val="NoSpacing"/>
              <w:spacing w:after="120"/>
              <w:ind w:left="102" w:right="96"/>
              <w:jc w:val="both"/>
              <w:rPr>
                <w:rFonts w:ascii="Times New Roman" w:hAnsi="Times New Roman"/>
                <w:lang w:val="ro-RO"/>
              </w:rPr>
            </w:pPr>
            <w:r w:rsidRPr="003F7A45">
              <w:rPr>
                <w:rFonts w:ascii="Times New Roman" w:hAnsi="Times New Roman"/>
                <w:lang w:val="ro-RO"/>
              </w:rPr>
              <w:t>Se indică locul în care pot fi consultate, fie pe suport fizic, fie în format electronic, documentele menționate anterior.</w:t>
            </w:r>
          </w:p>
        </w:tc>
      </w:tr>
    </w:tbl>
    <w:p w:rsidR="004029F2" w:rsidRPr="00D423FF" w:rsidRDefault="004029F2">
      <w:pPr>
        <w:rPr>
          <w:lang w:val="en-GB"/>
        </w:rPr>
      </w:pPr>
    </w:p>
    <w:sectPr w:rsidR="004029F2" w:rsidRPr="00D423FF" w:rsidSect="004029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23FF"/>
    <w:rsid w:val="004029F2"/>
    <w:rsid w:val="00D423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FF"/>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23FF"/>
    <w:pPr>
      <w:spacing w:after="0" w:line="240" w:lineRule="auto"/>
    </w:pPr>
    <w:rPr>
      <w:rFonts w:ascii="Calibri" w:eastAsia="Calibri" w:hAnsi="Calibri" w:cs="Times New Roman"/>
      <w:lang w:val="ru-RU"/>
    </w:rPr>
  </w:style>
  <w:style w:type="character" w:customStyle="1" w:styleId="NoSpacingChar">
    <w:name w:val="No Spacing Char"/>
    <w:basedOn w:val="DefaultParagraphFont"/>
    <w:link w:val="NoSpacing"/>
    <w:uiPriority w:val="1"/>
    <w:rsid w:val="00D423FF"/>
    <w:rPr>
      <w:rFonts w:ascii="Calibri" w:eastAsia="Calibri" w:hAnsi="Calibri" w:cs="Times New Roman"/>
      <w:lang w:val="ru-RU"/>
    </w:rPr>
  </w:style>
  <w:style w:type="paragraph" w:customStyle="1" w:styleId="norm">
    <w:name w:val="norm"/>
    <w:basedOn w:val="Normal"/>
    <w:rsid w:val="00D423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face">
    <w:name w:val="boldface"/>
    <w:basedOn w:val="DefaultParagraphFont"/>
    <w:rsid w:val="00D423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2018-05-28T07:06:00Z</dcterms:created>
  <dcterms:modified xsi:type="dcterms:W3CDTF">2018-05-28T07:06:00Z</dcterms:modified>
</cp:coreProperties>
</file>